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C3" w:rsidRDefault="009673C3"/>
    <w:p w:rsidR="00234E88" w:rsidRPr="003661B7" w:rsidRDefault="00234E88" w:rsidP="00380B18">
      <w:pPr>
        <w:pStyle w:val="a"/>
        <w:widowControl w:val="0"/>
        <w:spacing w:line="360" w:lineRule="auto"/>
        <w:rPr>
          <w:rFonts w:ascii="Times New Roman"/>
          <w:bCs/>
        </w:rPr>
      </w:pPr>
      <w:r>
        <w:rPr>
          <w:rFonts w:ascii="Times New Roman" w:eastAsia="Gulim" w:hAnsi="Gulim"/>
          <w:b/>
          <w:color w:val="auto"/>
        </w:rPr>
        <w:t xml:space="preserve">Table </w:t>
      </w:r>
      <w:proofErr w:type="gramStart"/>
      <w:r>
        <w:rPr>
          <w:rFonts w:ascii="Times New Roman" w:eastAsia="Gulim" w:hAnsi="Gulim"/>
          <w:b/>
          <w:color w:val="auto"/>
        </w:rPr>
        <w:t xml:space="preserve">S1 </w:t>
      </w:r>
      <w:r w:rsidRPr="00836C68">
        <w:rPr>
          <w:rFonts w:ascii="Times New Roman" w:eastAsia="Gulim" w:hAnsi="Gulim"/>
          <w:b/>
          <w:color w:val="FF0000"/>
        </w:rPr>
        <w:t xml:space="preserve"> </w:t>
      </w:r>
      <w:r w:rsidRPr="003661B7">
        <w:rPr>
          <w:rFonts w:ascii="Times New Roman" w:eastAsia="Gulim" w:hAnsi="Gulim"/>
          <w:bCs/>
          <w:color w:val="auto"/>
        </w:rPr>
        <w:t>Node</w:t>
      </w:r>
      <w:proofErr w:type="gramEnd"/>
      <w:r w:rsidRPr="003661B7">
        <w:rPr>
          <w:rFonts w:ascii="Times New Roman" w:eastAsia="Gulim" w:hAnsi="Gulim"/>
          <w:bCs/>
          <w:color w:val="auto"/>
        </w:rPr>
        <w:t xml:space="preserve"> information associated with CART configured by recursive partitioning for 33anti-Alzheimer agents based on subset 3</w:t>
      </w:r>
    </w:p>
    <w:tbl>
      <w:tblPr>
        <w:tblW w:w="0" w:type="auto"/>
        <w:jc w:val="center"/>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750"/>
        <w:gridCol w:w="972"/>
        <w:gridCol w:w="1058"/>
        <w:gridCol w:w="650"/>
        <w:gridCol w:w="776"/>
        <w:gridCol w:w="594"/>
      </w:tblGrid>
      <w:tr w:rsidR="00234E88" w:rsidRPr="003661B7" w:rsidTr="0013417D">
        <w:trPr>
          <w:cantSplit/>
          <w:trHeight w:val="1"/>
          <w:jc w:val="center"/>
        </w:trPr>
        <w:tc>
          <w:tcPr>
            <w:tcW w:w="750" w:type="dxa"/>
            <w:tcBorders>
              <w:top w:val="single" w:sz="4" w:space="0" w:color="000000"/>
              <w:bottom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Node</w:t>
            </w:r>
          </w:p>
        </w:tc>
        <w:tc>
          <w:tcPr>
            <w:tcW w:w="917" w:type="dxa"/>
            <w:tcBorders>
              <w:top w:val="single" w:sz="4" w:space="0" w:color="000000"/>
              <w:bottom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Split</w:t>
            </w:r>
            <w:bookmarkStart w:id="0" w:name="_GoBack"/>
            <w:bookmarkEnd w:id="0"/>
            <w:r w:rsidRPr="003661B7">
              <w:rPr>
                <w:rFonts w:asciiTheme="majorBidi" w:hAnsiTheme="majorBidi" w:cstheme="majorBidi"/>
              </w:rPr>
              <w:t>ting</w:t>
            </w:r>
          </w:p>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Variable</w:t>
            </w:r>
          </w:p>
        </w:tc>
        <w:tc>
          <w:tcPr>
            <w:tcW w:w="1058" w:type="dxa"/>
            <w:tcBorders>
              <w:top w:val="single" w:sz="4" w:space="0" w:color="000000"/>
              <w:bottom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Splitting</w:t>
            </w:r>
          </w:p>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Value</w:t>
            </w:r>
          </w:p>
        </w:tc>
        <w:tc>
          <w:tcPr>
            <w:tcW w:w="586" w:type="dxa"/>
            <w:tcBorders>
              <w:top w:val="single" w:sz="4" w:space="0" w:color="000000"/>
              <w:bottom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Node</w:t>
            </w:r>
          </w:p>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size</w:t>
            </w:r>
          </w:p>
        </w:tc>
        <w:tc>
          <w:tcPr>
            <w:tcW w:w="776" w:type="dxa"/>
            <w:tcBorders>
              <w:top w:val="single" w:sz="4" w:space="0" w:color="000000"/>
              <w:bottom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Node</w:t>
            </w:r>
          </w:p>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Output</w:t>
            </w:r>
          </w:p>
        </w:tc>
        <w:tc>
          <w:tcPr>
            <w:tcW w:w="565" w:type="dxa"/>
            <w:tcBorders>
              <w:top w:val="single" w:sz="4" w:space="0" w:color="000000"/>
              <w:bottom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Role</w:t>
            </w:r>
          </w:p>
        </w:tc>
      </w:tr>
      <w:tr w:rsidR="00234E88" w:rsidRPr="003661B7" w:rsidTr="0013417D">
        <w:trPr>
          <w:trHeight w:val="1"/>
          <w:jc w:val="center"/>
        </w:trPr>
        <w:tc>
          <w:tcPr>
            <w:tcW w:w="750" w:type="dxa"/>
            <w:tcBorders>
              <w:top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w:t>
            </w:r>
          </w:p>
        </w:tc>
        <w:tc>
          <w:tcPr>
            <w:tcW w:w="917" w:type="dxa"/>
            <w:tcBorders>
              <w:top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R3u</w:t>
            </w:r>
          </w:p>
        </w:tc>
        <w:tc>
          <w:tcPr>
            <w:tcW w:w="1058" w:type="dxa"/>
            <w:tcBorders>
              <w:top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2.23</w:t>
            </w:r>
          </w:p>
        </w:tc>
        <w:tc>
          <w:tcPr>
            <w:tcW w:w="586" w:type="dxa"/>
            <w:tcBorders>
              <w:top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25</w:t>
            </w:r>
          </w:p>
        </w:tc>
        <w:tc>
          <w:tcPr>
            <w:tcW w:w="776" w:type="dxa"/>
            <w:tcBorders>
              <w:top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1.240</w:t>
            </w:r>
          </w:p>
        </w:tc>
        <w:tc>
          <w:tcPr>
            <w:tcW w:w="565" w:type="dxa"/>
            <w:tcBorders>
              <w:top w:val="single" w:sz="4" w:space="0" w:color="000000"/>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N</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2</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Km</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0.428</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16</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1.417</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P</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3</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Mor15u</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0.401</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9</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0.924</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N</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4</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MATS1v</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0.000</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8</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1.259</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N</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5</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TIE</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306.451</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8</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1.575</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N</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6</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3</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0.651</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7</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proofErr w:type="spellStart"/>
            <w:r w:rsidRPr="003661B7">
              <w:rPr>
                <w:rFonts w:asciiTheme="majorBidi" w:hAnsiTheme="majorBidi" w:cstheme="majorBidi"/>
              </w:rPr>
              <w:t>Ss</w:t>
            </w:r>
            <w:proofErr w:type="spellEnd"/>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129.25</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6</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1.060</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N</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8</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0.974</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9</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MATS4p</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-0.005</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7</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1.300</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P</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10</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ZM2V</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343.111</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6</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1.527</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N</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11</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2</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1.721</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12</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proofErr w:type="spellStart"/>
            <w:r w:rsidRPr="003661B7">
              <w:rPr>
                <w:rFonts w:asciiTheme="majorBidi" w:hAnsiTheme="majorBidi" w:cstheme="majorBidi"/>
              </w:rPr>
              <w:t>GNar</w:t>
            </w:r>
            <w:proofErr w:type="spellEnd"/>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2.249</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4</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1.116</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N</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13</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2</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0.947</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14</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4</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1.261</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15</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3</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1.352</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16</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3</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1.564</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17</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3</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1.491</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r>
      <w:tr w:rsidR="00234E88" w:rsidRPr="003661B7" w:rsidTr="0013417D">
        <w:trPr>
          <w:trHeight w:val="1"/>
          <w:jc w:val="center"/>
        </w:trPr>
        <w:tc>
          <w:tcPr>
            <w:tcW w:w="750"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18</w:t>
            </w:r>
          </w:p>
        </w:tc>
        <w:tc>
          <w:tcPr>
            <w:tcW w:w="917"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1058"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58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3</w:t>
            </w:r>
          </w:p>
        </w:tc>
        <w:tc>
          <w:tcPr>
            <w:tcW w:w="776"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1.085</w:t>
            </w:r>
          </w:p>
        </w:tc>
        <w:tc>
          <w:tcPr>
            <w:tcW w:w="565" w:type="dxa"/>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r>
      <w:tr w:rsidR="00234E88" w:rsidRPr="003661B7" w:rsidTr="0013417D">
        <w:trPr>
          <w:trHeight w:val="1"/>
          <w:jc w:val="center"/>
        </w:trPr>
        <w:tc>
          <w:tcPr>
            <w:tcW w:w="750" w:type="dxa"/>
            <w:tcBorders>
              <w:bottom w:val="single" w:sz="4" w:space="0" w:color="auto"/>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19</w:t>
            </w:r>
          </w:p>
        </w:tc>
        <w:tc>
          <w:tcPr>
            <w:tcW w:w="917" w:type="dxa"/>
            <w:tcBorders>
              <w:bottom w:val="single" w:sz="4" w:space="0" w:color="auto"/>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1058" w:type="dxa"/>
            <w:tcBorders>
              <w:bottom w:val="single" w:sz="4" w:space="0" w:color="auto"/>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c>
          <w:tcPr>
            <w:tcW w:w="586" w:type="dxa"/>
            <w:tcBorders>
              <w:bottom w:val="single" w:sz="4" w:space="0" w:color="auto"/>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w:t>
            </w:r>
          </w:p>
        </w:tc>
        <w:tc>
          <w:tcPr>
            <w:tcW w:w="776" w:type="dxa"/>
            <w:tcBorders>
              <w:bottom w:val="single" w:sz="4" w:space="0" w:color="auto"/>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1.212</w:t>
            </w:r>
          </w:p>
        </w:tc>
        <w:tc>
          <w:tcPr>
            <w:tcW w:w="565" w:type="dxa"/>
            <w:tcBorders>
              <w:bottom w:val="single" w:sz="4" w:space="0" w:color="auto"/>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w:t>
            </w:r>
          </w:p>
        </w:tc>
      </w:tr>
      <w:tr w:rsidR="00234E88" w:rsidRPr="003661B7" w:rsidTr="0013417D">
        <w:trPr>
          <w:trHeight w:val="1"/>
          <w:jc w:val="center"/>
        </w:trPr>
        <w:tc>
          <w:tcPr>
            <w:tcW w:w="4652" w:type="dxa"/>
            <w:gridSpan w:val="6"/>
            <w:tcBorders>
              <w:top w:val="single" w:sz="4" w:space="0" w:color="auto"/>
              <w:bottom w:val="nil"/>
            </w:tcBorders>
            <w:shd w:val="clear" w:color="000000" w:fill="FFFFFF"/>
            <w:tcMar>
              <w:left w:w="108" w:type="dxa"/>
              <w:right w:w="108" w:type="dxa"/>
            </w:tcMar>
            <w:vAlign w:val="center"/>
          </w:tcPr>
          <w:p w:rsidR="00234E88" w:rsidRPr="003661B7" w:rsidRDefault="00234E88" w:rsidP="0013417D">
            <w:pPr>
              <w:pStyle w:val="a"/>
              <w:widowControl w:val="0"/>
              <w:spacing w:line="360" w:lineRule="auto"/>
              <w:rPr>
                <w:rFonts w:asciiTheme="majorBidi" w:hAnsiTheme="majorBidi" w:cstheme="majorBidi"/>
              </w:rPr>
            </w:pPr>
            <w:r w:rsidRPr="003661B7">
              <w:rPr>
                <w:rFonts w:asciiTheme="majorBidi" w:hAnsiTheme="majorBidi" w:cstheme="majorBidi"/>
              </w:rPr>
              <w:t xml:space="preserve">Symbol “–” represents the leaf nodes without splitting variables and values. In the last column, “N” represents the negative effect of the corresponding splitting variable on the antimicrobial activity, and vice versa, “P” refers to the positive effect of the corresponding splitting variable </w:t>
            </w:r>
            <w:r>
              <w:rPr>
                <w:rFonts w:asciiTheme="majorBidi" w:hAnsiTheme="majorBidi" w:cstheme="majorBidi"/>
              </w:rPr>
              <w:t>on the antimicrobial activity.</w:t>
            </w:r>
          </w:p>
        </w:tc>
      </w:tr>
    </w:tbl>
    <w:p w:rsidR="00234E88" w:rsidRDefault="00234E88"/>
    <w:p w:rsidR="00234E88" w:rsidRDefault="00234E88"/>
    <w:p w:rsidR="00234E88" w:rsidRPr="003661B7" w:rsidRDefault="00234E88" w:rsidP="00380B18">
      <w:pPr>
        <w:pStyle w:val="a"/>
        <w:spacing w:line="360" w:lineRule="auto"/>
        <w:rPr>
          <w:rFonts w:ascii="Times New Roman" w:hAnsi="Times New Roman" w:cs="Times New Roman"/>
          <w:bCs/>
          <w:kern w:val="2"/>
        </w:rPr>
      </w:pPr>
      <w:r>
        <w:rPr>
          <w:rFonts w:ascii="Times New Roman" w:hAnsi="Times New Roman" w:cs="Times New Roman"/>
          <w:b/>
          <w:kern w:val="2"/>
        </w:rPr>
        <w:t xml:space="preserve">Table </w:t>
      </w:r>
      <w:proofErr w:type="gramStart"/>
      <w:r>
        <w:rPr>
          <w:rFonts w:ascii="Times New Roman" w:hAnsi="Times New Roman" w:cs="Times New Roman"/>
          <w:b/>
          <w:kern w:val="2"/>
        </w:rPr>
        <w:t xml:space="preserve">S2 </w:t>
      </w:r>
      <w:r w:rsidRPr="003661B7">
        <w:rPr>
          <w:rFonts w:ascii="Times New Roman" w:hAnsi="Times New Roman" w:cs="Times New Roman"/>
          <w:bCs/>
          <w:kern w:val="2"/>
        </w:rPr>
        <w:t xml:space="preserve"> Symbols</w:t>
      </w:r>
      <w:proofErr w:type="gramEnd"/>
      <w:r w:rsidRPr="003661B7">
        <w:rPr>
          <w:rFonts w:ascii="Times New Roman" w:hAnsi="Times New Roman" w:cs="Times New Roman"/>
          <w:bCs/>
          <w:kern w:val="2"/>
        </w:rPr>
        <w:t xml:space="preserve"> and definitions for the selected independent variables and descriptors involved in the CART, MLR and PCA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75"/>
        <w:gridCol w:w="2593"/>
        <w:gridCol w:w="5670"/>
      </w:tblGrid>
      <w:tr w:rsidR="00234E88" w:rsidRPr="003661B7" w:rsidTr="00222608">
        <w:trPr>
          <w:trHeight w:val="255"/>
          <w:jc w:val="center"/>
        </w:trPr>
        <w:tc>
          <w:tcPr>
            <w:tcW w:w="1075" w:type="dxa"/>
            <w:shd w:val="clear" w:color="auto" w:fill="auto"/>
            <w:tcMar>
              <w:left w:w="108" w:type="dxa"/>
              <w:right w:w="108" w:type="dxa"/>
            </w:tcMar>
            <w:vAlign w:val="cente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Symbols</w:t>
            </w:r>
          </w:p>
        </w:tc>
        <w:tc>
          <w:tcPr>
            <w:tcW w:w="2593" w:type="dxa"/>
            <w:shd w:val="clear" w:color="000000" w:fill="FFFFFF"/>
            <w:tcMar>
              <w:left w:w="108" w:type="dxa"/>
              <w:right w:w="108" w:type="dxa"/>
            </w:tcMar>
            <w:vAlign w:val="cente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Type</w:t>
            </w:r>
          </w:p>
        </w:tc>
        <w:tc>
          <w:tcPr>
            <w:tcW w:w="5670" w:type="dxa"/>
            <w:shd w:val="clear" w:color="auto" w:fill="auto"/>
            <w:tcMar>
              <w:left w:w="108" w:type="dxa"/>
              <w:right w:w="108" w:type="dxa"/>
            </w:tcMar>
            <w:vAlign w:val="cente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Description</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MW</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molecular weight</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lastRenderedPageBreak/>
              <w:t>AMW</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average molecular weight</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Sv</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sum of atomic van der Waals volumes (scaled on Carbon atom)</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Se</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 xml:space="preserve">sum of atomic Sanderson </w:t>
            </w:r>
            <w:proofErr w:type="spellStart"/>
            <w:r w:rsidRPr="003661B7">
              <w:rPr>
                <w:rFonts w:asciiTheme="majorBidi" w:hAnsiTheme="majorBidi" w:cstheme="majorBidi"/>
                <w:kern w:val="2"/>
              </w:rPr>
              <w:t>electronegativities</w:t>
            </w:r>
            <w:proofErr w:type="spellEnd"/>
            <w:r w:rsidRPr="003661B7">
              <w:rPr>
                <w:rFonts w:asciiTheme="majorBidi" w:hAnsiTheme="majorBidi" w:cstheme="majorBidi"/>
                <w:kern w:val="2"/>
              </w:rPr>
              <w:t xml:space="preserve"> (scaled on Carbon atom)</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Sp</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sum of atomic polarizabilities (scaled on Carbon atom)</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Ss</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 xml:space="preserve">sum of Kier-Hall </w:t>
            </w:r>
            <w:proofErr w:type="spellStart"/>
            <w:r w:rsidRPr="003661B7">
              <w:rPr>
                <w:rFonts w:asciiTheme="majorBidi" w:hAnsiTheme="majorBidi" w:cstheme="majorBidi"/>
                <w:kern w:val="2"/>
              </w:rPr>
              <w:t>electrotopological</w:t>
            </w:r>
            <w:proofErr w:type="spellEnd"/>
            <w:r w:rsidRPr="003661B7">
              <w:rPr>
                <w:rFonts w:asciiTheme="majorBidi" w:hAnsiTheme="majorBidi" w:cstheme="majorBidi"/>
                <w:kern w:val="2"/>
              </w:rPr>
              <w:t xml:space="preserve"> states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Mv</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mean atomic van der Waals volume (scaled on Carbon atom)</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Me</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mean atomic Sanderson electronegativity (scaled on Carbon atom)</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Mp</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mean atomic polarizability (scaled on Carbon atom)</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Ms</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 xml:space="preserve">mean </w:t>
            </w:r>
            <w:proofErr w:type="spellStart"/>
            <w:r w:rsidRPr="003661B7">
              <w:rPr>
                <w:rFonts w:asciiTheme="majorBidi" w:hAnsiTheme="majorBidi" w:cstheme="majorBidi"/>
                <w:kern w:val="2"/>
              </w:rPr>
              <w:t>electrotopological</w:t>
            </w:r>
            <w:proofErr w:type="spellEnd"/>
            <w:r w:rsidRPr="003661B7">
              <w:rPr>
                <w:rFonts w:asciiTheme="majorBidi" w:hAnsiTheme="majorBidi" w:cstheme="majorBidi"/>
                <w:kern w:val="2"/>
              </w:rPr>
              <w:t xml:space="preserve"> state</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nAT</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atoms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nSK</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non-H atoms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nBT</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bonds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nBO</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non-H bonds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nBM</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multiple bonds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SCBO</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sum of conventional bond orders (H-depleted)</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nCIC</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rings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nCIR</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circuits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RBN</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rotatable bonds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RBF</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rotatable bond fraction</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nDB</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double bonds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nAB</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aromatic bonds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nH</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Hydrogen atoms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nC</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constitutional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number of Carbon atoms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Qnmax</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maximum negative charge</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Qpos</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total positive charge</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Qneg</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total negative charge</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Qtot</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total absolute charge (electronic charge index - ECI)</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Qmean</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mean absolute charge (charge polarization)</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Q2</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total squared charge</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RPCG</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relative positive charge</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RNCG</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relative negative charge</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SPP</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subpolarity</w:t>
            </w:r>
            <w:proofErr w:type="spellEnd"/>
            <w:r w:rsidRPr="003661B7">
              <w:rPr>
                <w:rFonts w:asciiTheme="majorBidi" w:hAnsiTheme="majorBidi" w:cstheme="majorBidi"/>
                <w:kern w:val="2"/>
              </w:rPr>
              <w:t xml:space="preserve"> parameter</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TE1</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topographic electronic descriptor</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TE2</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 xml:space="preserve">topographic electronic descriptor (bond </w:t>
            </w:r>
            <w:proofErr w:type="spellStart"/>
            <w:r w:rsidRPr="003661B7">
              <w:rPr>
                <w:rFonts w:asciiTheme="majorBidi" w:hAnsiTheme="majorBidi" w:cstheme="majorBidi"/>
                <w:kern w:val="2"/>
              </w:rPr>
              <w:t>resctricted</w:t>
            </w:r>
            <w:proofErr w:type="spellEnd"/>
            <w:r w:rsidRPr="003661B7">
              <w:rPr>
                <w:rFonts w:asciiTheme="majorBidi" w:hAnsiTheme="majorBidi" w:cstheme="majorBidi"/>
                <w:kern w:val="2"/>
              </w:rPr>
              <w:t>)</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PCWTe</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partial charge weighted topological electronic charge</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lastRenderedPageBreak/>
              <w:t>LDip</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charge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local dipole index</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SHP2</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Randic</w:t>
            </w:r>
            <w:proofErr w:type="spellEnd"/>
            <w:r w:rsidRPr="003661B7">
              <w:rPr>
                <w:rFonts w:asciiTheme="majorBidi" w:hAnsiTheme="majorBidi" w:cstheme="majorBidi"/>
                <w:kern w:val="2"/>
              </w:rPr>
              <w:t xml:space="preserve"> molecular profiles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average shape profile index of order 2</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W3D</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Pr>
                <w:rFonts w:asciiTheme="majorBidi" w:hAnsiTheme="majorBidi" w:cstheme="majorBidi"/>
                <w:kern w:val="2"/>
              </w:rPr>
              <w:t>3</w:t>
            </w:r>
            <w:r w:rsidRPr="003661B7">
              <w:rPr>
                <w:rFonts w:asciiTheme="majorBidi" w:hAnsiTheme="majorBidi" w:cstheme="majorBidi"/>
                <w:kern w:val="2"/>
              </w:rPr>
              <w:t>D-Wiener index</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J3D</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3D-Balaban index</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H3D</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3D-Harary index</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AGDD</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average geometric distance degree</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DDI</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D/D index</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ADDD</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average distance/distance degree</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G1</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gravitational index G1</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G2</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gravitational index G2 (bond-restricted)</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RGyr</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radius of gyration (mass weighted)</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SPAN</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span R</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SPAM</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average span R</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MEcc</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molecular eccentricity</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SPH</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Spherosity</w:t>
            </w:r>
            <w:proofErr w:type="spellEnd"/>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ASP</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Asphericity</w:t>
            </w:r>
            <w:proofErr w:type="spellEnd"/>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FDI</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folding degree index</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PJI3</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 xml:space="preserve">3D </w:t>
            </w:r>
            <w:proofErr w:type="spellStart"/>
            <w:r w:rsidRPr="003661B7">
              <w:rPr>
                <w:rFonts w:asciiTheme="majorBidi" w:hAnsiTheme="majorBidi" w:cstheme="majorBidi"/>
                <w:kern w:val="2"/>
              </w:rPr>
              <w:t>Petijean</w:t>
            </w:r>
            <w:proofErr w:type="spellEnd"/>
            <w:r w:rsidRPr="003661B7">
              <w:rPr>
                <w:rFonts w:asciiTheme="majorBidi" w:hAnsiTheme="majorBidi" w:cstheme="majorBidi"/>
                <w:kern w:val="2"/>
              </w:rPr>
              <w:t xml:space="preserve"> shape index</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L/</w:t>
            </w:r>
            <w:proofErr w:type="spellStart"/>
            <w:r w:rsidRPr="003661B7">
              <w:rPr>
                <w:rFonts w:asciiTheme="majorBidi" w:hAnsiTheme="majorBidi" w:cstheme="majorBidi"/>
                <w:kern w:val="2"/>
              </w:rPr>
              <w:t>Bw</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geometrical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length-to-breadth ratio by WHIM</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Hy</w:t>
            </w:r>
            <w:proofErr w:type="spellEnd"/>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empirical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hydrophilic factor</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ARR</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empirical descriptors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aromatic ratio</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MR</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Properties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Ghose-Crippen</w:t>
            </w:r>
            <w:proofErr w:type="spellEnd"/>
            <w:r w:rsidRPr="003661B7">
              <w:rPr>
                <w:rFonts w:asciiTheme="majorBidi" w:hAnsiTheme="majorBidi" w:cstheme="majorBidi"/>
                <w:kern w:val="2"/>
              </w:rPr>
              <w:t xml:space="preserve"> molar refractivity</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PSA</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Properties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fragment-based polar surface area</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MLOGP</w:t>
            </w:r>
          </w:p>
        </w:tc>
        <w:tc>
          <w:tcPr>
            <w:tcW w:w="2593" w:type="dxa"/>
            <w:shd w:val="clear" w:color="000000" w:fill="FFFFFF"/>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Properties</w:t>
            </w:r>
          </w:p>
        </w:tc>
        <w:tc>
          <w:tcPr>
            <w:tcW w:w="5670"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proofErr w:type="spellStart"/>
            <w:r w:rsidRPr="003661B7">
              <w:rPr>
                <w:rFonts w:asciiTheme="majorBidi" w:hAnsiTheme="majorBidi" w:cstheme="majorBidi"/>
                <w:kern w:val="2"/>
              </w:rPr>
              <w:t>Moriguchioctanol</w:t>
            </w:r>
            <w:proofErr w:type="spellEnd"/>
            <w:r w:rsidRPr="003661B7">
              <w:rPr>
                <w:rFonts w:asciiTheme="majorBidi" w:hAnsiTheme="majorBidi" w:cstheme="majorBidi"/>
                <w:kern w:val="2"/>
              </w:rPr>
              <w:t xml:space="preserve">-water partition </w:t>
            </w:r>
            <w:proofErr w:type="spellStart"/>
            <w:r w:rsidRPr="003661B7">
              <w:rPr>
                <w:rFonts w:asciiTheme="majorBidi" w:hAnsiTheme="majorBidi" w:cstheme="majorBidi"/>
                <w:kern w:val="2"/>
              </w:rPr>
              <w:t>coeff</w:t>
            </w:r>
            <w:proofErr w:type="spellEnd"/>
            <w:r w:rsidRPr="003661B7">
              <w:rPr>
                <w:rFonts w:asciiTheme="majorBidi" w:hAnsiTheme="majorBidi" w:cstheme="majorBidi"/>
                <w:kern w:val="2"/>
              </w:rPr>
              <w:t>. (</w:t>
            </w:r>
            <w:proofErr w:type="spellStart"/>
            <w:r w:rsidRPr="003661B7">
              <w:rPr>
                <w:rFonts w:asciiTheme="majorBidi" w:hAnsiTheme="majorBidi" w:cstheme="majorBidi"/>
                <w:kern w:val="2"/>
              </w:rPr>
              <w:t>logP</w:t>
            </w:r>
            <w:proofErr w:type="spellEnd"/>
            <w:r w:rsidRPr="003661B7">
              <w:rPr>
                <w:rFonts w:asciiTheme="majorBidi" w:hAnsiTheme="majorBidi" w:cstheme="majorBidi"/>
                <w:kern w:val="2"/>
              </w:rPr>
              <w:t>)</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R3e</w:t>
            </w:r>
          </w:p>
        </w:tc>
        <w:tc>
          <w:tcPr>
            <w:tcW w:w="2593" w:type="dxa"/>
            <w:shd w:val="clear" w:color="000000" w:fill="FFFFFF"/>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GETAWAY descriptors</w:t>
            </w:r>
          </w:p>
        </w:tc>
        <w:tc>
          <w:tcPr>
            <w:tcW w:w="5670" w:type="dxa"/>
            <w:shd w:val="clear" w:color="auto" w:fill="auto"/>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 xml:space="preserve">R autocorrelation of lag 3 / weighted by atomic Sanderson </w:t>
            </w:r>
            <w:proofErr w:type="spellStart"/>
            <w:r w:rsidRPr="003661B7">
              <w:rPr>
                <w:rFonts w:asciiTheme="majorBidi" w:hAnsiTheme="majorBidi" w:cstheme="majorBidi"/>
                <w:kern w:val="2"/>
              </w:rPr>
              <w:t>electronegativities</w:t>
            </w:r>
            <w:proofErr w:type="spellEnd"/>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Km</w:t>
            </w:r>
          </w:p>
        </w:tc>
        <w:tc>
          <w:tcPr>
            <w:tcW w:w="2593" w:type="dxa"/>
            <w:shd w:val="clear" w:color="000000" w:fill="FFFFFF"/>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WHIM descriptors</w:t>
            </w:r>
          </w:p>
        </w:tc>
        <w:tc>
          <w:tcPr>
            <w:tcW w:w="5670" w:type="dxa"/>
            <w:shd w:val="clear" w:color="auto" w:fill="auto"/>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K global shape index / weighted by atomic masses</w:t>
            </w:r>
          </w:p>
        </w:tc>
      </w:tr>
      <w:tr w:rsidR="00234E88" w:rsidRPr="003661B7" w:rsidTr="00222608">
        <w:trPr>
          <w:trHeight w:val="255"/>
          <w:jc w:val="center"/>
        </w:trPr>
        <w:tc>
          <w:tcPr>
            <w:tcW w:w="1075" w:type="dxa"/>
            <w:shd w:val="clear" w:color="auto" w:fill="auto"/>
            <w:tcMar>
              <w:left w:w="108" w:type="dxa"/>
              <w:right w:w="108" w:type="dxa"/>
            </w:tcMar>
            <w:vAlign w:val="bottom"/>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Mor15u</w:t>
            </w:r>
          </w:p>
        </w:tc>
        <w:tc>
          <w:tcPr>
            <w:tcW w:w="2593" w:type="dxa"/>
            <w:shd w:val="clear" w:color="000000" w:fill="FFFFFF"/>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3D-MoRSE descriptors</w:t>
            </w:r>
          </w:p>
        </w:tc>
        <w:tc>
          <w:tcPr>
            <w:tcW w:w="5670" w:type="dxa"/>
            <w:shd w:val="clear" w:color="auto" w:fill="auto"/>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3D-MoRSE - signal 15 / unweighted</w:t>
            </w:r>
          </w:p>
        </w:tc>
      </w:tr>
      <w:tr w:rsidR="00234E88" w:rsidRPr="003661B7" w:rsidTr="00222608">
        <w:trPr>
          <w:trHeight w:val="255"/>
          <w:jc w:val="center"/>
        </w:trPr>
        <w:tc>
          <w:tcPr>
            <w:tcW w:w="1075" w:type="dxa"/>
            <w:shd w:val="clear" w:color="auto" w:fill="auto"/>
            <w:tcMar>
              <w:left w:w="108" w:type="dxa"/>
              <w:right w:w="108" w:type="dxa"/>
            </w:tcMar>
            <w:vAlign w:val="cente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Lop</w:t>
            </w:r>
          </w:p>
        </w:tc>
        <w:tc>
          <w:tcPr>
            <w:tcW w:w="2593" w:type="dxa"/>
            <w:shd w:val="clear" w:color="000000" w:fill="FFFFFF"/>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topological descriptors</w:t>
            </w:r>
          </w:p>
        </w:tc>
        <w:tc>
          <w:tcPr>
            <w:tcW w:w="5670" w:type="dxa"/>
            <w:shd w:val="clear" w:color="auto" w:fill="auto"/>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Lopping centric index</w:t>
            </w:r>
          </w:p>
        </w:tc>
      </w:tr>
      <w:tr w:rsidR="00234E88" w:rsidRPr="003661B7" w:rsidTr="00222608">
        <w:trPr>
          <w:trHeight w:val="255"/>
          <w:jc w:val="center"/>
        </w:trPr>
        <w:tc>
          <w:tcPr>
            <w:tcW w:w="1075" w:type="dxa"/>
            <w:shd w:val="clear" w:color="auto" w:fill="auto"/>
            <w:tcMar>
              <w:left w:w="108" w:type="dxa"/>
              <w:right w:w="108" w:type="dxa"/>
            </w:tcMar>
            <w:vAlign w:val="cente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GATS5e</w:t>
            </w:r>
          </w:p>
        </w:tc>
        <w:tc>
          <w:tcPr>
            <w:tcW w:w="2593" w:type="dxa"/>
            <w:shd w:val="clear" w:color="000000" w:fill="FFFFFF"/>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2D autocorrelations</w:t>
            </w:r>
          </w:p>
        </w:tc>
        <w:tc>
          <w:tcPr>
            <w:tcW w:w="5670" w:type="dxa"/>
            <w:shd w:val="clear" w:color="auto" w:fill="auto"/>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 xml:space="preserve">Geary autocorrelation - lag 5 / weighted by atomic Sanderson </w:t>
            </w:r>
            <w:proofErr w:type="spellStart"/>
            <w:r w:rsidRPr="003661B7">
              <w:rPr>
                <w:rFonts w:asciiTheme="majorBidi" w:hAnsiTheme="majorBidi" w:cstheme="majorBidi"/>
                <w:kern w:val="2"/>
              </w:rPr>
              <w:t>electronegativities</w:t>
            </w:r>
            <w:proofErr w:type="spellEnd"/>
          </w:p>
        </w:tc>
      </w:tr>
      <w:tr w:rsidR="00234E88" w:rsidRPr="003661B7" w:rsidTr="00222608">
        <w:trPr>
          <w:trHeight w:val="255"/>
          <w:jc w:val="center"/>
        </w:trPr>
        <w:tc>
          <w:tcPr>
            <w:tcW w:w="1075" w:type="dxa"/>
            <w:shd w:val="clear" w:color="auto" w:fill="auto"/>
            <w:tcMar>
              <w:left w:w="108" w:type="dxa"/>
              <w:right w:w="108" w:type="dxa"/>
            </w:tcMar>
            <w:vAlign w:val="cente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E2m</w:t>
            </w:r>
          </w:p>
        </w:tc>
        <w:tc>
          <w:tcPr>
            <w:tcW w:w="2593" w:type="dxa"/>
            <w:shd w:val="clear" w:color="000000" w:fill="FFFFFF"/>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WHIM descriptors</w:t>
            </w:r>
          </w:p>
        </w:tc>
        <w:tc>
          <w:tcPr>
            <w:tcW w:w="5670" w:type="dxa"/>
            <w:shd w:val="clear" w:color="auto" w:fill="auto"/>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2nd component accessibility directional WHIM index / weighted by atomic masses</w:t>
            </w:r>
          </w:p>
        </w:tc>
      </w:tr>
      <w:tr w:rsidR="00234E88" w:rsidRPr="003661B7" w:rsidTr="00222608">
        <w:trPr>
          <w:trHeight w:val="255"/>
          <w:jc w:val="center"/>
        </w:trPr>
        <w:tc>
          <w:tcPr>
            <w:tcW w:w="1075" w:type="dxa"/>
            <w:shd w:val="clear" w:color="auto" w:fill="auto"/>
            <w:tcMar>
              <w:left w:w="108" w:type="dxa"/>
              <w:right w:w="108" w:type="dxa"/>
            </w:tcMar>
            <w:vAlign w:val="cente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Mor24e</w:t>
            </w:r>
          </w:p>
        </w:tc>
        <w:tc>
          <w:tcPr>
            <w:tcW w:w="2593" w:type="dxa"/>
            <w:shd w:val="clear" w:color="000000" w:fill="FFFFFF"/>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3D-MoRSE descriptors</w:t>
            </w:r>
          </w:p>
        </w:tc>
        <w:tc>
          <w:tcPr>
            <w:tcW w:w="5670" w:type="dxa"/>
            <w:shd w:val="clear" w:color="auto" w:fill="auto"/>
            <w:tcMar>
              <w:left w:w="108" w:type="dxa"/>
              <w:right w:w="108" w:type="dxa"/>
            </w:tcMar>
          </w:tcPr>
          <w:p w:rsidR="00234E88" w:rsidRPr="003661B7" w:rsidRDefault="00234E88" w:rsidP="0013417D">
            <w:pPr>
              <w:pStyle w:val="a"/>
              <w:spacing w:line="360" w:lineRule="auto"/>
              <w:rPr>
                <w:rFonts w:asciiTheme="majorBidi" w:hAnsiTheme="majorBidi" w:cstheme="majorBidi"/>
                <w:kern w:val="2"/>
              </w:rPr>
            </w:pPr>
            <w:r w:rsidRPr="003661B7">
              <w:rPr>
                <w:rFonts w:asciiTheme="majorBidi" w:hAnsiTheme="majorBidi" w:cstheme="majorBidi"/>
                <w:kern w:val="2"/>
              </w:rPr>
              <w:t xml:space="preserve">3D-MoRSE - signal 24 / weighted by atomic Sanderson </w:t>
            </w:r>
            <w:proofErr w:type="spellStart"/>
            <w:r w:rsidRPr="003661B7">
              <w:rPr>
                <w:rFonts w:asciiTheme="majorBidi" w:hAnsiTheme="majorBidi" w:cstheme="majorBidi"/>
                <w:kern w:val="2"/>
              </w:rPr>
              <w:t>electronegativities</w:t>
            </w:r>
            <w:proofErr w:type="spellEnd"/>
          </w:p>
        </w:tc>
      </w:tr>
    </w:tbl>
    <w:p w:rsidR="00234E88" w:rsidRPr="003661B7" w:rsidRDefault="00234E88" w:rsidP="00234E88">
      <w:pPr>
        <w:pStyle w:val="a"/>
        <w:spacing w:line="360" w:lineRule="auto"/>
        <w:rPr>
          <w:rFonts w:ascii="Times New Roman" w:hAnsi="Times New Roman" w:cs="Times New Roman"/>
          <w:color w:val="auto"/>
          <w:kern w:val="2"/>
        </w:rPr>
      </w:pPr>
    </w:p>
    <w:p w:rsidR="00234E88" w:rsidRDefault="00234E88"/>
    <w:p w:rsidR="00234E88" w:rsidRPr="003661B7" w:rsidRDefault="00234E88" w:rsidP="00380B18">
      <w:pPr>
        <w:snapToGrid w:val="0"/>
        <w:spacing w:after="0" w:line="360" w:lineRule="auto"/>
        <w:jc w:val="center"/>
        <w:rPr>
          <w:rFonts w:asciiTheme="majorBidi" w:eastAsia="Batang" w:hAnsiTheme="majorBidi" w:cstheme="majorBidi"/>
          <w:color w:val="000000"/>
          <w:sz w:val="20"/>
          <w:szCs w:val="20"/>
          <w:lang w:eastAsia="ko-KR"/>
        </w:rPr>
      </w:pPr>
      <w:r>
        <w:rPr>
          <w:rFonts w:asciiTheme="majorBidi" w:eastAsia="Batang" w:hAnsiTheme="majorBidi" w:cstheme="majorBidi"/>
          <w:b/>
          <w:bCs/>
          <w:color w:val="000000"/>
          <w:sz w:val="20"/>
          <w:szCs w:val="20"/>
          <w:lang w:eastAsia="ko-KR"/>
        </w:rPr>
        <w:t xml:space="preserve">Table </w:t>
      </w:r>
      <w:proofErr w:type="gramStart"/>
      <w:r>
        <w:rPr>
          <w:rFonts w:asciiTheme="majorBidi" w:eastAsia="Batang" w:hAnsiTheme="majorBidi" w:cstheme="majorBidi"/>
          <w:b/>
          <w:bCs/>
          <w:color w:val="000000"/>
          <w:sz w:val="20"/>
          <w:szCs w:val="20"/>
          <w:lang w:eastAsia="ko-KR"/>
        </w:rPr>
        <w:t xml:space="preserve">S3 </w:t>
      </w:r>
      <w:r w:rsidRPr="003661B7">
        <w:rPr>
          <w:rFonts w:asciiTheme="majorBidi" w:eastAsia="Batang" w:hAnsiTheme="majorBidi" w:cstheme="majorBidi"/>
          <w:color w:val="000000"/>
          <w:sz w:val="20"/>
          <w:szCs w:val="20"/>
          <w:lang w:eastAsia="ko-KR"/>
        </w:rPr>
        <w:t xml:space="preserve"> Rotated</w:t>
      </w:r>
      <w:proofErr w:type="gramEnd"/>
      <w:r w:rsidRPr="003661B7">
        <w:rPr>
          <w:rFonts w:asciiTheme="majorBidi" w:eastAsia="Batang" w:hAnsiTheme="majorBidi" w:cstheme="majorBidi"/>
          <w:color w:val="000000"/>
          <w:sz w:val="20"/>
          <w:szCs w:val="20"/>
          <w:lang w:eastAsia="ko-KR"/>
        </w:rPr>
        <w:t xml:space="preserve"> Component Matrix for five PCs</w:t>
      </w:r>
    </w:p>
    <w:tbl>
      <w:tblPr>
        <w:tblW w:w="0" w:type="auto"/>
        <w:jc w:val="center"/>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917"/>
        <w:gridCol w:w="1016"/>
        <w:gridCol w:w="1016"/>
        <w:gridCol w:w="1016"/>
        <w:gridCol w:w="1016"/>
        <w:gridCol w:w="1016"/>
      </w:tblGrid>
      <w:tr w:rsidR="00234E88" w:rsidRPr="003661B7" w:rsidTr="0013417D">
        <w:trPr>
          <w:trHeight w:val="221"/>
          <w:jc w:val="center"/>
        </w:trPr>
        <w:tc>
          <w:tcPr>
            <w:tcW w:w="917" w:type="dxa"/>
            <w:tcBorders>
              <w:top w:val="single" w:sz="4" w:space="0" w:color="000000"/>
              <w:bottom w:val="nil"/>
            </w:tcBorders>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Symbols</w:t>
            </w:r>
          </w:p>
        </w:tc>
        <w:tc>
          <w:tcPr>
            <w:tcW w:w="4064" w:type="dxa"/>
            <w:gridSpan w:val="4"/>
            <w:tcBorders>
              <w:top w:val="single" w:sz="4" w:space="0" w:color="000000"/>
              <w:bottom w:val="single" w:sz="4" w:space="0" w:color="000000"/>
            </w:tcBorders>
            <w:shd w:val="clear" w:color="000000" w:fill="FFFFFF"/>
            <w:tcMar>
              <w:left w:w="108" w:type="dxa"/>
              <w:right w:w="108" w:type="dxa"/>
            </w:tcMa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Component</w:t>
            </w:r>
          </w:p>
        </w:tc>
        <w:tc>
          <w:tcPr>
            <w:tcW w:w="1016" w:type="dxa"/>
            <w:tcBorders>
              <w:top w:val="single" w:sz="4" w:space="0" w:color="000000"/>
              <w:bottom w:val="single" w:sz="4" w:space="0" w:color="000000"/>
            </w:tcBorders>
            <w:shd w:val="clear" w:color="000000" w:fill="FFFFFF"/>
            <w:tcMar>
              <w:left w:w="108" w:type="dxa"/>
              <w:right w:w="108" w:type="dxa"/>
            </w:tcMa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tcBorders>
              <w:top w:val="nil"/>
              <w:bottom w:val="single" w:sz="4" w:space="0" w:color="000000"/>
            </w:tcBorders>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tcBorders>
              <w:top w:val="single" w:sz="4" w:space="0" w:color="000000"/>
              <w:bottom w:val="single" w:sz="4" w:space="0" w:color="000000"/>
            </w:tcBorders>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PC1</w:t>
            </w:r>
          </w:p>
        </w:tc>
        <w:tc>
          <w:tcPr>
            <w:tcW w:w="1016" w:type="dxa"/>
            <w:tcBorders>
              <w:top w:val="single" w:sz="4" w:space="0" w:color="000000"/>
              <w:bottom w:val="single" w:sz="4" w:space="0" w:color="000000"/>
            </w:tcBorders>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PC2</w:t>
            </w:r>
          </w:p>
        </w:tc>
        <w:tc>
          <w:tcPr>
            <w:tcW w:w="1016" w:type="dxa"/>
            <w:tcBorders>
              <w:top w:val="single" w:sz="4" w:space="0" w:color="000000"/>
              <w:bottom w:val="single" w:sz="4" w:space="0" w:color="000000"/>
            </w:tcBorders>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PC3</w:t>
            </w:r>
          </w:p>
        </w:tc>
        <w:tc>
          <w:tcPr>
            <w:tcW w:w="1016" w:type="dxa"/>
            <w:tcBorders>
              <w:top w:val="single" w:sz="4" w:space="0" w:color="000000"/>
              <w:bottom w:val="single" w:sz="4" w:space="0" w:color="000000"/>
            </w:tcBorders>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PC4</w:t>
            </w:r>
          </w:p>
        </w:tc>
        <w:tc>
          <w:tcPr>
            <w:tcW w:w="1016" w:type="dxa"/>
            <w:tcBorders>
              <w:top w:val="single" w:sz="4" w:space="0" w:color="000000"/>
              <w:bottom w:val="single" w:sz="4" w:space="0" w:color="000000"/>
            </w:tcBorders>
            <w:shd w:val="clear" w:color="000000" w:fill="FFFFFF"/>
            <w:tcMar>
              <w:left w:w="108" w:type="dxa"/>
              <w:right w:w="108" w:type="dxa"/>
            </w:tcMa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PC5</w:t>
            </w:r>
          </w:p>
        </w:tc>
      </w:tr>
      <w:tr w:rsidR="00234E88" w:rsidRPr="003661B7" w:rsidTr="0013417D">
        <w:trPr>
          <w:trHeight w:val="221"/>
          <w:jc w:val="center"/>
        </w:trPr>
        <w:tc>
          <w:tcPr>
            <w:tcW w:w="917" w:type="dxa"/>
            <w:tcBorders>
              <w:top w:val="single" w:sz="4" w:space="0" w:color="000000"/>
            </w:tcBorders>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MW</w:t>
            </w:r>
          </w:p>
        </w:tc>
        <w:tc>
          <w:tcPr>
            <w:tcW w:w="1016" w:type="dxa"/>
            <w:tcBorders>
              <w:top w:val="single" w:sz="4" w:space="0" w:color="000000"/>
            </w:tcBorders>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0.987</w:t>
            </w:r>
          </w:p>
        </w:tc>
        <w:tc>
          <w:tcPr>
            <w:tcW w:w="1016" w:type="dxa"/>
            <w:tcBorders>
              <w:top w:val="single" w:sz="4" w:space="0" w:color="000000"/>
            </w:tcBorders>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tcBorders>
              <w:top w:val="single" w:sz="4" w:space="0" w:color="000000"/>
            </w:tcBorders>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tcBorders>
              <w:top w:val="single" w:sz="4" w:space="0" w:color="000000"/>
            </w:tcBorders>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tcBorders>
              <w:top w:val="single" w:sz="4" w:space="0" w:color="000000"/>
            </w:tcBorders>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AMW</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-0.675</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0.663</w:t>
            </w: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Sv</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0.996</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Se</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0.993</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Sp</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0.995</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Ss</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0.975</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Mv</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-0.914</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Me</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0.949</w:t>
            </w: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Mp</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-0.896</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Ms</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-0.578</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0.729</w:t>
            </w: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nAT</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0.991</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nSK</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0.999</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nBT</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0.993</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nBO</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0.999</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nBM</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0.988</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SCBO</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0.997</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nCIC</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0.993</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nCIR</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0.988</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RBN</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0.765</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RBF</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-0.736</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0.52</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nDB</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0.774</w:t>
            </w: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nAB</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0.988</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nH</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0.962</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nC</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0.986</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Qnmax</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0.922</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Qpos</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0.985</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Qneg</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0.985</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Qtot</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0.985</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Qmean</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0.78</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Q2</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0.976</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RPCG</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-0.957</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RNCG</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-0.955</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SPP</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0.932</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lastRenderedPageBreak/>
              <w:t>TE1</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0.984</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TE2</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0.979</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PCWTe</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0.978</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LDip</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0.752</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SHP2</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-0.989</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W3D</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0.981</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J3D</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-0.913</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H3D</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0.986</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AGDD</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0.987</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DDI</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0.984</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ADDD</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0.993</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G1</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0.986</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G2</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0.998</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RGyr</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0.969</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SPAN</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0.81</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SPAM</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-0.96</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MEcc</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-0.8</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SPH</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-0.767</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-0.528</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ASP</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-0.863</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FDI</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-0.902</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PJI3</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0.815</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L/</w:t>
            </w:r>
            <w:proofErr w:type="spellStart"/>
            <w:r w:rsidRPr="003661B7">
              <w:rPr>
                <w:rFonts w:asciiTheme="majorBidi" w:eastAsia="Batang" w:hAnsiTheme="majorBidi" w:cstheme="majorBidi"/>
                <w:bCs/>
                <w:color w:val="000000"/>
                <w:sz w:val="20"/>
                <w:szCs w:val="20"/>
                <w:lang w:eastAsia="ko-KR"/>
              </w:rPr>
              <w:t>Bw</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0.724</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roofErr w:type="spellStart"/>
            <w:r w:rsidRPr="003661B7">
              <w:rPr>
                <w:rFonts w:asciiTheme="majorBidi" w:eastAsia="Batang" w:hAnsiTheme="majorBidi" w:cstheme="majorBidi"/>
                <w:bCs/>
                <w:color w:val="000000"/>
                <w:sz w:val="20"/>
                <w:szCs w:val="20"/>
                <w:lang w:eastAsia="ko-KR"/>
              </w:rPr>
              <w:t>Hy</w:t>
            </w:r>
            <w:proofErr w:type="spellEnd"/>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0.954</w:t>
            </w: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MR</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0.993</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PSA</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0.949</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r w:rsidR="00234E88" w:rsidRPr="003661B7" w:rsidTr="0013417D">
        <w:trPr>
          <w:trHeight w:val="221"/>
          <w:jc w:val="center"/>
        </w:trPr>
        <w:tc>
          <w:tcPr>
            <w:tcW w:w="917" w:type="dxa"/>
            <w:shd w:val="clear" w:color="000000" w:fill="FFFFFF"/>
            <w:tcMar>
              <w:left w:w="108" w:type="dxa"/>
              <w:right w:w="108" w:type="dxa"/>
            </w:tcMar>
            <w:vAlign w:val="bottom"/>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MLOGP</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r w:rsidRPr="003661B7">
              <w:rPr>
                <w:rFonts w:asciiTheme="majorBidi" w:eastAsia="Batang" w:hAnsiTheme="majorBidi" w:cstheme="majorBidi"/>
                <w:bCs/>
                <w:color w:val="000000"/>
                <w:sz w:val="20"/>
                <w:szCs w:val="20"/>
                <w:lang w:eastAsia="ko-KR"/>
              </w:rPr>
              <w:t>-0.755</w:t>
            </w: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auto" w:fill="auto"/>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c>
          <w:tcPr>
            <w:tcW w:w="1016" w:type="dxa"/>
            <w:shd w:val="clear" w:color="000000" w:fill="FFFFFF"/>
            <w:tcMar>
              <w:left w:w="108" w:type="dxa"/>
              <w:right w:w="108" w:type="dxa"/>
            </w:tcMar>
            <w:vAlign w:val="center"/>
          </w:tcPr>
          <w:p w:rsidR="00234E88" w:rsidRPr="003661B7" w:rsidRDefault="00234E88" w:rsidP="0013417D">
            <w:pPr>
              <w:snapToGrid w:val="0"/>
              <w:spacing w:after="0" w:line="360" w:lineRule="auto"/>
              <w:jc w:val="both"/>
              <w:rPr>
                <w:rFonts w:asciiTheme="majorBidi" w:eastAsia="Batang" w:hAnsiTheme="majorBidi" w:cstheme="majorBidi"/>
                <w:bCs/>
                <w:color w:val="000000"/>
                <w:sz w:val="20"/>
                <w:szCs w:val="20"/>
                <w:lang w:eastAsia="ko-KR"/>
              </w:rPr>
            </w:pPr>
          </w:p>
        </w:tc>
      </w:tr>
    </w:tbl>
    <w:p w:rsidR="00234E88" w:rsidRDefault="00234E88" w:rsidP="00234E88">
      <w:pPr>
        <w:snapToGrid w:val="0"/>
        <w:spacing w:after="0" w:line="360" w:lineRule="auto"/>
        <w:jc w:val="both"/>
        <w:rPr>
          <w:rFonts w:asciiTheme="majorBidi" w:eastAsia="Batang" w:hAnsiTheme="majorBidi" w:cstheme="majorBidi"/>
          <w:bCs/>
          <w:color w:val="000000"/>
          <w:sz w:val="20"/>
          <w:szCs w:val="20"/>
          <w:lang w:eastAsia="ko-KR"/>
        </w:rPr>
      </w:pPr>
    </w:p>
    <w:p w:rsidR="00234E88" w:rsidRDefault="00234E88"/>
    <w:p w:rsidR="001170A3" w:rsidRDefault="001170A3">
      <w:r>
        <w:br w:type="page"/>
      </w:r>
    </w:p>
    <w:p w:rsidR="00234E88" w:rsidRDefault="00234E88"/>
    <w:p w:rsidR="001170A3" w:rsidRDefault="001170A3" w:rsidP="001170A3">
      <w:pPr>
        <w:jc w:val="center"/>
      </w:pPr>
      <w:r>
        <w:rPr>
          <w:noProof/>
        </w:rPr>
        <w:drawing>
          <wp:inline distT="0" distB="0" distL="0" distR="0">
            <wp:extent cx="3299828" cy="311839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jpg"/>
                    <pic:cNvPicPr/>
                  </pic:nvPicPr>
                  <pic:blipFill>
                    <a:blip r:embed="rId5">
                      <a:extLst>
                        <a:ext uri="{28A0092B-C50C-407E-A947-70E740481C1C}">
                          <a14:useLocalDpi xmlns:a14="http://schemas.microsoft.com/office/drawing/2010/main" val="0"/>
                        </a:ext>
                      </a:extLst>
                    </a:blip>
                    <a:stretch>
                      <a:fillRect/>
                    </a:stretch>
                  </pic:blipFill>
                  <pic:spPr>
                    <a:xfrm>
                      <a:off x="0" y="0"/>
                      <a:ext cx="3326365" cy="3143472"/>
                    </a:xfrm>
                    <a:prstGeom prst="rect">
                      <a:avLst/>
                    </a:prstGeom>
                  </pic:spPr>
                </pic:pic>
              </a:graphicData>
            </a:graphic>
          </wp:inline>
        </w:drawing>
      </w:r>
    </w:p>
    <w:p w:rsidR="001170A3" w:rsidRPr="00B62DA8" w:rsidRDefault="00B62DA8" w:rsidP="00B62DA8">
      <w:pPr>
        <w:jc w:val="center"/>
        <w:rPr>
          <w:b/>
          <w:bCs/>
          <w:sz w:val="36"/>
          <w:szCs w:val="36"/>
        </w:rPr>
      </w:pPr>
      <w:proofErr w:type="gramStart"/>
      <w:r w:rsidRPr="00B62DA8">
        <w:rPr>
          <w:b/>
          <w:bCs/>
          <w:sz w:val="36"/>
          <w:szCs w:val="36"/>
        </w:rPr>
        <w:t>a</w:t>
      </w:r>
      <w:proofErr w:type="gramEnd"/>
    </w:p>
    <w:p w:rsidR="001170A3" w:rsidRDefault="001170A3" w:rsidP="001170A3">
      <w:pPr>
        <w:jc w:val="center"/>
      </w:pPr>
      <w:r>
        <w:rPr>
          <w:noProof/>
        </w:rPr>
        <w:drawing>
          <wp:inline distT="0" distB="0" distL="0" distR="0">
            <wp:extent cx="3863975" cy="294051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e.jpg"/>
                    <pic:cNvPicPr/>
                  </pic:nvPicPr>
                  <pic:blipFill>
                    <a:blip r:embed="rId6">
                      <a:extLst>
                        <a:ext uri="{28A0092B-C50C-407E-A947-70E740481C1C}">
                          <a14:useLocalDpi xmlns:a14="http://schemas.microsoft.com/office/drawing/2010/main" val="0"/>
                        </a:ext>
                      </a:extLst>
                    </a:blip>
                    <a:stretch>
                      <a:fillRect/>
                    </a:stretch>
                  </pic:blipFill>
                  <pic:spPr>
                    <a:xfrm>
                      <a:off x="0" y="0"/>
                      <a:ext cx="3884688" cy="2956281"/>
                    </a:xfrm>
                    <a:prstGeom prst="rect">
                      <a:avLst/>
                    </a:prstGeom>
                  </pic:spPr>
                </pic:pic>
              </a:graphicData>
            </a:graphic>
          </wp:inline>
        </w:drawing>
      </w:r>
    </w:p>
    <w:p w:rsidR="001170A3" w:rsidRPr="00B62DA8" w:rsidRDefault="00B62DA8" w:rsidP="001170A3">
      <w:pPr>
        <w:jc w:val="center"/>
        <w:rPr>
          <w:b/>
          <w:bCs/>
          <w:sz w:val="36"/>
          <w:szCs w:val="36"/>
        </w:rPr>
      </w:pPr>
      <w:proofErr w:type="gramStart"/>
      <w:r w:rsidRPr="00B62DA8">
        <w:rPr>
          <w:b/>
          <w:bCs/>
          <w:sz w:val="36"/>
          <w:szCs w:val="36"/>
        </w:rPr>
        <w:t>b</w:t>
      </w:r>
      <w:proofErr w:type="gramEnd"/>
    </w:p>
    <w:p w:rsidR="001170A3" w:rsidRPr="00B62DA8" w:rsidRDefault="001170A3" w:rsidP="001170A3">
      <w:pPr>
        <w:rPr>
          <w:rFonts w:asciiTheme="majorBidi" w:hAnsiTheme="majorBidi" w:cstheme="majorBidi"/>
        </w:rPr>
      </w:pPr>
      <w:r w:rsidRPr="00B62DA8">
        <w:rPr>
          <w:rFonts w:asciiTheme="majorBidi" w:hAnsiTheme="majorBidi" w:cstheme="majorBidi"/>
          <w:b/>
          <w:bCs/>
        </w:rPr>
        <w:t>Fig. 1s</w:t>
      </w:r>
      <w:r w:rsidRPr="00B62DA8">
        <w:rPr>
          <w:rFonts w:asciiTheme="majorBidi" w:hAnsiTheme="majorBidi" w:cstheme="majorBidi"/>
        </w:rPr>
        <w:t xml:space="preserve"> </w:t>
      </w:r>
      <w:r w:rsidR="00B62DA8">
        <w:rPr>
          <w:rFonts w:asciiTheme="majorBidi" w:hAnsiTheme="majorBidi" w:cstheme="majorBidi"/>
        </w:rPr>
        <w:t>D</w:t>
      </w:r>
      <w:r w:rsidRPr="00B62DA8">
        <w:rPr>
          <w:rFonts w:asciiTheme="majorBidi" w:hAnsiTheme="majorBidi" w:cstheme="majorBidi"/>
        </w:rPr>
        <w:t xml:space="preserve">ifferent interaction between the less active (5e) and the most active (8e) inhibitors with </w:t>
      </w:r>
      <w:proofErr w:type="spellStart"/>
      <w:r w:rsidRPr="00B62DA8">
        <w:rPr>
          <w:rFonts w:asciiTheme="majorBidi" w:hAnsiTheme="majorBidi" w:cstheme="majorBidi"/>
        </w:rPr>
        <w:t>BuCh</w:t>
      </w:r>
      <w:r w:rsidR="00B62DA8" w:rsidRPr="00B62DA8">
        <w:rPr>
          <w:rFonts w:asciiTheme="majorBidi" w:hAnsiTheme="majorBidi" w:cstheme="majorBidi"/>
        </w:rPr>
        <w:t>e</w:t>
      </w:r>
      <w:proofErr w:type="spellEnd"/>
      <w:r w:rsidR="00B62DA8" w:rsidRPr="00B62DA8">
        <w:rPr>
          <w:rFonts w:asciiTheme="majorBidi" w:hAnsiTheme="majorBidi" w:cstheme="majorBidi"/>
        </w:rPr>
        <w:t xml:space="preserve"> enzyme</w:t>
      </w:r>
      <w:r w:rsidRPr="00B62DA8">
        <w:rPr>
          <w:rFonts w:asciiTheme="majorBidi" w:hAnsiTheme="majorBidi" w:cstheme="majorBidi"/>
        </w:rPr>
        <w:t xml:space="preserve"> </w:t>
      </w:r>
    </w:p>
    <w:sectPr w:rsidR="001170A3" w:rsidRPr="00B6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79"/>
    <w:rsid w:val="001170A3"/>
    <w:rsid w:val="00234E88"/>
    <w:rsid w:val="00380B18"/>
    <w:rsid w:val="00735779"/>
    <w:rsid w:val="009673C3"/>
    <w:rsid w:val="00B62DA8"/>
    <w:rsid w:val="00F67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234E88"/>
    <w:pPr>
      <w:snapToGrid w:val="0"/>
      <w:spacing w:after="0" w:line="384" w:lineRule="auto"/>
      <w:jc w:val="both"/>
    </w:pPr>
    <w:rPr>
      <w:rFonts w:ascii="Batang" w:eastAsia="Batang" w:hAnsi="Batang" w:cs="Gulim"/>
      <w:color w:val="00000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234E88"/>
    <w:pPr>
      <w:snapToGrid w:val="0"/>
      <w:spacing w:after="0" w:line="384" w:lineRule="auto"/>
      <w:jc w:val="both"/>
    </w:pPr>
    <w:rPr>
      <w:rFonts w:ascii="Batang" w:eastAsia="Batang" w:hAnsi="Batang" w:cs="Gulim"/>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Pakyari</cp:lastModifiedBy>
  <cp:revision>2</cp:revision>
  <dcterms:created xsi:type="dcterms:W3CDTF">2018-10-06T10:21:00Z</dcterms:created>
  <dcterms:modified xsi:type="dcterms:W3CDTF">2018-10-06T10:21:00Z</dcterms:modified>
</cp:coreProperties>
</file>